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Literatura: </w:t>
      </w:r>
      <w:r w:rsidDel="00000000" w:rsidR="00000000" w:rsidRPr="00000000">
        <w:rPr>
          <w:b w:val="1"/>
          <w:sz w:val="28"/>
          <w:szCs w:val="28"/>
          <w:rtl w:val="0"/>
        </w:rPr>
        <w:t xml:space="preserve">Matematiranje </w:t>
      </w:r>
      <w:r w:rsidDel="00000000" w:rsidR="00000000" w:rsidRPr="00000000">
        <w:rPr>
          <w:sz w:val="28"/>
          <w:szCs w:val="28"/>
          <w:rtl w:val="0"/>
        </w:rPr>
        <w:t xml:space="preserve">za 4. Razred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Oblasti: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Funkcija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Izvod funkcije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Kombinatorika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Verovatnoca i statistika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